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1CE" w:rsidRPr="000C0B35" w:rsidRDefault="00A071CE" w:rsidP="00342DFA">
      <w:pPr>
        <w:spacing w:line="460" w:lineRule="exact"/>
        <w:jc w:val="center"/>
        <w:rPr>
          <w:rFonts w:ascii="標楷體" w:eastAsia="標楷體" w:hAnsi="標楷體"/>
          <w:b/>
          <w:color w:val="000000"/>
          <w:w w:val="90"/>
          <w:sz w:val="40"/>
          <w:szCs w:val="40"/>
        </w:rPr>
      </w:pPr>
      <w:r w:rsidRPr="000C0B35">
        <w:rPr>
          <w:rFonts w:ascii="標楷體" w:eastAsia="標楷體" w:hAnsi="標楷體" w:hint="eastAsia"/>
          <w:b/>
          <w:color w:val="000000"/>
          <w:w w:val="90"/>
          <w:sz w:val="40"/>
          <w:szCs w:val="40"/>
        </w:rPr>
        <w:t>雲林縣政府處理違反性侵害犯罪防治法案件裁罰基準</w:t>
      </w:r>
    </w:p>
    <w:p w:rsidR="00D16FFE" w:rsidRPr="009C567F" w:rsidRDefault="008B2BE0" w:rsidP="00563D16">
      <w:pPr>
        <w:spacing w:line="460" w:lineRule="exact"/>
        <w:jc w:val="right"/>
        <w:rPr>
          <w:rFonts w:ascii="標楷體" w:eastAsia="標楷體" w:hAnsi="標楷體"/>
          <w:b/>
          <w:bCs/>
          <w:color w:val="000000"/>
          <w:sz w:val="20"/>
          <w:szCs w:val="20"/>
        </w:rPr>
      </w:pPr>
      <w:r w:rsidRPr="009C567F">
        <w:rPr>
          <w:rFonts w:ascii="標楷體" w:eastAsia="標楷體" w:hAnsi="標楷體" w:hint="eastAsia"/>
          <w:bCs/>
          <w:color w:val="000000"/>
          <w:sz w:val="20"/>
          <w:szCs w:val="20"/>
        </w:rPr>
        <w:t>中華民國</w:t>
      </w:r>
      <w:proofErr w:type="gramStart"/>
      <w:r w:rsidRPr="009C567F">
        <w:rPr>
          <w:rFonts w:ascii="標楷體" w:eastAsia="標楷體" w:hAnsi="標楷體" w:hint="eastAsia"/>
          <w:bCs/>
          <w:color w:val="000000"/>
          <w:sz w:val="20"/>
          <w:szCs w:val="20"/>
        </w:rPr>
        <w:t>104年</w:t>
      </w:r>
      <w:r w:rsidR="00BC2FFF">
        <w:rPr>
          <w:rFonts w:ascii="標楷體" w:eastAsia="標楷體" w:hAnsi="標楷體" w:hint="eastAsia"/>
          <w:bCs/>
          <w:color w:val="000000"/>
          <w:sz w:val="20"/>
          <w:szCs w:val="20"/>
        </w:rPr>
        <w:t>10</w:t>
      </w:r>
      <w:r w:rsidRPr="009C567F">
        <w:rPr>
          <w:rFonts w:ascii="標楷體" w:eastAsia="標楷體" w:hAnsi="標楷體" w:hint="eastAsia"/>
          <w:bCs/>
          <w:color w:val="000000"/>
          <w:sz w:val="20"/>
          <w:szCs w:val="20"/>
        </w:rPr>
        <w:t>月</w:t>
      </w:r>
      <w:r w:rsidR="00EA0A02">
        <w:rPr>
          <w:rFonts w:ascii="標楷體" w:eastAsia="標楷體" w:hAnsi="標楷體" w:hint="eastAsia"/>
          <w:bCs/>
          <w:color w:val="000000"/>
          <w:sz w:val="20"/>
          <w:szCs w:val="20"/>
        </w:rPr>
        <w:t>6</w:t>
      </w:r>
      <w:r w:rsidRPr="009C567F">
        <w:rPr>
          <w:rFonts w:ascii="標楷體" w:eastAsia="標楷體" w:hAnsi="標楷體" w:hint="eastAsia"/>
          <w:bCs/>
          <w:color w:val="000000"/>
          <w:sz w:val="20"/>
          <w:szCs w:val="20"/>
        </w:rPr>
        <w:t>日府</w:t>
      </w:r>
      <w:r w:rsidR="00BC2FFF">
        <w:rPr>
          <w:rFonts w:ascii="標楷體" w:eastAsia="標楷體" w:hAnsi="標楷體" w:hint="eastAsia"/>
          <w:bCs/>
          <w:color w:val="000000"/>
          <w:sz w:val="20"/>
          <w:szCs w:val="20"/>
        </w:rPr>
        <w:t>行法</w:t>
      </w:r>
      <w:proofErr w:type="gramEnd"/>
      <w:r w:rsidRPr="009C567F">
        <w:rPr>
          <w:rFonts w:ascii="標楷體" w:eastAsia="標楷體" w:hAnsi="標楷體" w:hint="eastAsia"/>
          <w:bCs/>
          <w:color w:val="000000"/>
          <w:sz w:val="20"/>
          <w:szCs w:val="20"/>
        </w:rPr>
        <w:t>一字第</w:t>
      </w:r>
      <w:r w:rsidR="00BC2FFF">
        <w:rPr>
          <w:rFonts w:ascii="標楷體" w:eastAsia="標楷體" w:hAnsi="標楷體" w:hint="eastAsia"/>
          <w:bCs/>
          <w:color w:val="000000"/>
          <w:sz w:val="20"/>
          <w:szCs w:val="20"/>
        </w:rPr>
        <w:t>1042900460A</w:t>
      </w:r>
      <w:r w:rsidRPr="009C567F">
        <w:rPr>
          <w:rFonts w:ascii="標楷體" w:eastAsia="標楷體" w:hAnsi="標楷體" w:hint="eastAsia"/>
          <w:bCs/>
          <w:color w:val="000000"/>
          <w:sz w:val="20"/>
          <w:szCs w:val="20"/>
        </w:rPr>
        <w:t>號</w:t>
      </w:r>
      <w:r w:rsidR="002D62B4">
        <w:rPr>
          <w:rFonts w:ascii="標楷體" w:eastAsia="標楷體" w:hAnsi="標楷體" w:hint="eastAsia"/>
          <w:bCs/>
          <w:color w:val="000000"/>
          <w:sz w:val="20"/>
          <w:szCs w:val="20"/>
        </w:rPr>
        <w:t>令</w:t>
      </w:r>
      <w:r w:rsidRPr="009C567F">
        <w:rPr>
          <w:rFonts w:ascii="標楷體" w:eastAsia="標楷體" w:hAnsi="標楷體" w:hint="eastAsia"/>
          <w:bCs/>
          <w:color w:val="000000"/>
          <w:sz w:val="20"/>
          <w:szCs w:val="20"/>
        </w:rPr>
        <w:t>訂定</w:t>
      </w:r>
    </w:p>
    <w:p w:rsidR="005F5F95" w:rsidRPr="00870076" w:rsidRDefault="005F5F95" w:rsidP="00F07E8B">
      <w:pPr>
        <w:numPr>
          <w:ilvl w:val="0"/>
          <w:numId w:val="2"/>
        </w:numPr>
        <w:spacing w:line="460" w:lineRule="exact"/>
        <w:rPr>
          <w:rFonts w:ascii="標楷體" w:eastAsia="標楷體" w:hAnsi="標楷體"/>
          <w:bCs/>
          <w:color w:val="000000"/>
          <w:sz w:val="28"/>
          <w:szCs w:val="28"/>
        </w:rPr>
      </w:pPr>
      <w:r w:rsidRPr="00870076">
        <w:rPr>
          <w:rFonts w:ascii="標楷體" w:eastAsia="標楷體" w:hAnsi="標楷體" w:hint="eastAsia"/>
          <w:bCs/>
          <w:color w:val="000000"/>
          <w:sz w:val="28"/>
          <w:szCs w:val="28"/>
        </w:rPr>
        <w:t>雲林縣政府（以下簡稱本府）為適當處理違反性侵害犯罪防治法案件，並落實公平執法、減少爭議</w:t>
      </w:r>
      <w:r w:rsidR="008A785F" w:rsidRPr="00870076">
        <w:rPr>
          <w:rFonts w:ascii="標楷體" w:eastAsia="標楷體" w:hAnsi="標楷體" w:hint="eastAsia"/>
          <w:bCs/>
          <w:color w:val="000000"/>
          <w:sz w:val="28"/>
          <w:szCs w:val="28"/>
        </w:rPr>
        <w:t>與</w:t>
      </w:r>
      <w:r w:rsidRPr="00870076">
        <w:rPr>
          <w:rFonts w:ascii="標楷體" w:eastAsia="標楷體" w:hAnsi="標楷體" w:hint="eastAsia"/>
          <w:bCs/>
          <w:color w:val="000000"/>
          <w:sz w:val="28"/>
          <w:szCs w:val="28"/>
        </w:rPr>
        <w:t>提</w:t>
      </w:r>
      <w:r w:rsidR="008A785F" w:rsidRPr="00870076">
        <w:rPr>
          <w:rFonts w:ascii="標楷體" w:eastAsia="標楷體" w:hAnsi="標楷體" w:hint="eastAsia"/>
          <w:bCs/>
          <w:color w:val="000000"/>
          <w:sz w:val="28"/>
          <w:szCs w:val="28"/>
        </w:rPr>
        <w:t>昇行政效率及</w:t>
      </w:r>
      <w:r w:rsidRPr="00870076">
        <w:rPr>
          <w:rFonts w:ascii="標楷體" w:eastAsia="標楷體" w:hAnsi="標楷體" w:hint="eastAsia"/>
          <w:bCs/>
          <w:color w:val="000000"/>
          <w:sz w:val="28"/>
          <w:szCs w:val="28"/>
        </w:rPr>
        <w:t>公信力，特訂定本基準。</w:t>
      </w:r>
    </w:p>
    <w:p w:rsidR="003130A5" w:rsidRPr="00870076" w:rsidRDefault="005F5F95" w:rsidP="00F07E8B">
      <w:pPr>
        <w:numPr>
          <w:ilvl w:val="0"/>
          <w:numId w:val="2"/>
        </w:numPr>
        <w:spacing w:line="460" w:lineRule="exact"/>
        <w:rPr>
          <w:rFonts w:ascii="標楷體" w:eastAsia="標楷體" w:hAnsi="標楷體"/>
          <w:bCs/>
          <w:color w:val="000000"/>
          <w:sz w:val="28"/>
          <w:szCs w:val="28"/>
        </w:rPr>
      </w:pPr>
      <w:r w:rsidRPr="00870076">
        <w:rPr>
          <w:rFonts w:ascii="標楷體" w:eastAsia="標楷體" w:hAnsi="標楷體" w:hint="eastAsia"/>
          <w:bCs/>
          <w:color w:val="000000"/>
          <w:sz w:val="28"/>
          <w:szCs w:val="28"/>
        </w:rPr>
        <w:t>本府處理違反性侵害犯罪防治</w:t>
      </w:r>
      <w:r w:rsidR="00483EEE" w:rsidRPr="00870076">
        <w:rPr>
          <w:rFonts w:ascii="標楷體" w:eastAsia="標楷體" w:hAnsi="標楷體" w:hint="eastAsia"/>
          <w:bCs/>
          <w:color w:val="000000"/>
          <w:sz w:val="28"/>
          <w:szCs w:val="28"/>
        </w:rPr>
        <w:t>法</w:t>
      </w:r>
      <w:r w:rsidRPr="00870076">
        <w:rPr>
          <w:rFonts w:ascii="標楷體" w:eastAsia="標楷體" w:hAnsi="標楷體" w:hint="eastAsia"/>
          <w:bCs/>
          <w:color w:val="000000"/>
          <w:sz w:val="28"/>
          <w:szCs w:val="28"/>
        </w:rPr>
        <w:t>案件，其裁罰基準如附表。</w:t>
      </w:r>
    </w:p>
    <w:p w:rsidR="003130A5" w:rsidRPr="003130A5" w:rsidRDefault="003130A5" w:rsidP="00361ECD">
      <w:pPr>
        <w:spacing w:line="460" w:lineRule="exact"/>
        <w:ind w:leftChars="-413" w:left="-991"/>
        <w:rPr>
          <w:rFonts w:ascii="標楷體" w:eastAsia="標楷體" w:hAnsi="標楷體"/>
          <w:bCs/>
          <w:color w:val="000000"/>
          <w:sz w:val="28"/>
          <w:szCs w:val="28"/>
        </w:rPr>
      </w:pPr>
      <w:r>
        <w:rPr>
          <w:rFonts w:ascii="標楷體" w:eastAsia="標楷體" w:hAnsi="標楷體" w:hint="eastAsia"/>
          <w:bCs/>
          <w:color w:val="000000"/>
          <w:sz w:val="28"/>
          <w:szCs w:val="28"/>
        </w:rPr>
        <w:t>附表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63"/>
        <w:gridCol w:w="898"/>
        <w:gridCol w:w="1798"/>
        <w:gridCol w:w="1084"/>
        <w:gridCol w:w="898"/>
        <w:gridCol w:w="2880"/>
        <w:gridCol w:w="2184"/>
      </w:tblGrid>
      <w:tr w:rsidR="00B9726A" w:rsidRPr="00A77AD5" w:rsidTr="001715BC">
        <w:trPr>
          <w:tblHeader/>
          <w:jc w:val="center"/>
        </w:trPr>
        <w:tc>
          <w:tcPr>
            <w:tcW w:w="227"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項次</w:t>
            </w:r>
          </w:p>
        </w:tc>
        <w:tc>
          <w:tcPr>
            <w:tcW w:w="440"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法律</w:t>
            </w:r>
          </w:p>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依據</w:t>
            </w:r>
          </w:p>
        </w:tc>
        <w:tc>
          <w:tcPr>
            <w:tcW w:w="881"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違法事實</w:t>
            </w:r>
          </w:p>
        </w:tc>
        <w:tc>
          <w:tcPr>
            <w:tcW w:w="531"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裁罰</w:t>
            </w:r>
          </w:p>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內容</w:t>
            </w:r>
          </w:p>
        </w:tc>
        <w:tc>
          <w:tcPr>
            <w:tcW w:w="440"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裁罰</w:t>
            </w:r>
          </w:p>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對象</w:t>
            </w:r>
          </w:p>
        </w:tc>
        <w:tc>
          <w:tcPr>
            <w:tcW w:w="1411" w:type="pct"/>
            <w:vAlign w:val="center"/>
          </w:tcPr>
          <w:p w:rsidR="00B9726A" w:rsidRPr="00A77AD5" w:rsidRDefault="00B9726A" w:rsidP="00342837">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裁罰基準</w:t>
            </w:r>
          </w:p>
        </w:tc>
        <w:tc>
          <w:tcPr>
            <w:tcW w:w="1070" w:type="pct"/>
            <w:vAlign w:val="center"/>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備註</w:t>
            </w:r>
          </w:p>
        </w:tc>
      </w:tr>
      <w:tr w:rsidR="00B9726A" w:rsidRPr="00A77AD5" w:rsidTr="001715BC">
        <w:trPr>
          <w:trHeight w:val="2006"/>
          <w:jc w:val="center"/>
        </w:trPr>
        <w:tc>
          <w:tcPr>
            <w:tcW w:w="227" w:type="pct"/>
            <w:vAlign w:val="center"/>
          </w:tcPr>
          <w:p w:rsidR="00B9726A" w:rsidRPr="00A77AD5" w:rsidRDefault="00B9726A" w:rsidP="001715BC">
            <w:pPr>
              <w:rPr>
                <w:rFonts w:ascii="標楷體" w:eastAsia="標楷體" w:hAnsi="標楷體"/>
                <w:color w:val="000000"/>
                <w:sz w:val="26"/>
                <w:szCs w:val="26"/>
              </w:rPr>
            </w:pPr>
            <w:proofErr w:type="gramStart"/>
            <w:r w:rsidRPr="00A77AD5">
              <w:rPr>
                <w:rFonts w:ascii="標楷體" w:eastAsia="標楷體" w:hAnsi="標楷體" w:hint="eastAsia"/>
                <w:color w:val="000000"/>
                <w:sz w:val="26"/>
                <w:szCs w:val="26"/>
              </w:rPr>
              <w:t>一</w:t>
            </w:r>
            <w:proofErr w:type="gramEnd"/>
          </w:p>
        </w:tc>
        <w:tc>
          <w:tcPr>
            <w:tcW w:w="440" w:type="pct"/>
          </w:tcPr>
          <w:p w:rsidR="00B9726A" w:rsidRPr="00A77AD5" w:rsidRDefault="00B9726A"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t>性侵害犯罪防治法第十條第四項</w:t>
            </w:r>
          </w:p>
        </w:tc>
        <w:tc>
          <w:tcPr>
            <w:tcW w:w="881" w:type="pct"/>
          </w:tcPr>
          <w:p w:rsidR="00B9726A" w:rsidRPr="00A77AD5" w:rsidRDefault="00B9726A"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醫院、診所對於被害人，不得無故拒絕診療及開立驗傷診斷書。</w:t>
            </w:r>
          </w:p>
        </w:tc>
        <w:tc>
          <w:tcPr>
            <w:tcW w:w="531" w:type="pct"/>
          </w:tcPr>
          <w:p w:rsidR="00B9726A" w:rsidRPr="00A77AD5" w:rsidRDefault="00B9726A"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由衛生主管機關處新臺幣一萬元以上五萬元以下罰鍰。</w:t>
            </w:r>
          </w:p>
        </w:tc>
        <w:tc>
          <w:tcPr>
            <w:tcW w:w="440" w:type="pct"/>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負責人</w:t>
            </w:r>
          </w:p>
        </w:tc>
        <w:tc>
          <w:tcPr>
            <w:tcW w:w="1411" w:type="pct"/>
          </w:tcPr>
          <w:p w:rsidR="00B9726A" w:rsidRPr="00A77AD5" w:rsidRDefault="00B9726A" w:rsidP="001715BC">
            <w:pPr>
              <w:ind w:left="491" w:hangingChars="189" w:hanging="491"/>
              <w:rPr>
                <w:rFonts w:ascii="標楷體" w:eastAsia="標楷體" w:hAnsi="標楷體"/>
                <w:color w:val="000000"/>
                <w:sz w:val="26"/>
                <w:szCs w:val="26"/>
              </w:rPr>
            </w:pPr>
            <w:r w:rsidRPr="00A77AD5">
              <w:rPr>
                <w:rFonts w:ascii="標楷體" w:eastAsia="標楷體" w:hAnsi="標楷體" w:hint="eastAsia"/>
                <w:color w:val="000000"/>
                <w:sz w:val="26"/>
                <w:szCs w:val="26"/>
              </w:rPr>
              <w:t>一、第一次違反者，處新臺幣一萬元罰鍰。</w:t>
            </w:r>
          </w:p>
          <w:p w:rsidR="00B9726A" w:rsidRPr="00A77AD5" w:rsidRDefault="00B9726A" w:rsidP="001715BC">
            <w:pPr>
              <w:ind w:left="491" w:hangingChars="189" w:hanging="491"/>
              <w:rPr>
                <w:rFonts w:ascii="標楷體" w:eastAsia="標楷體" w:hAnsi="標楷體"/>
                <w:color w:val="000000"/>
                <w:sz w:val="26"/>
                <w:szCs w:val="26"/>
              </w:rPr>
            </w:pPr>
            <w:r w:rsidRPr="00A77AD5">
              <w:rPr>
                <w:rFonts w:ascii="標楷體" w:eastAsia="標楷體" w:hAnsi="標楷體" w:hint="eastAsia"/>
                <w:color w:val="000000"/>
                <w:sz w:val="26"/>
                <w:szCs w:val="26"/>
              </w:rPr>
              <w:t>二、第二次違反者，處新臺幣二萬元罰鍰。</w:t>
            </w:r>
          </w:p>
          <w:p w:rsidR="00B9726A" w:rsidRPr="00A77AD5" w:rsidRDefault="00B9726A" w:rsidP="001715BC">
            <w:pPr>
              <w:ind w:left="491" w:hangingChars="189" w:hanging="491"/>
              <w:rPr>
                <w:rFonts w:ascii="標楷體" w:eastAsia="標楷體" w:hAnsi="標楷體"/>
                <w:color w:val="000000"/>
                <w:sz w:val="26"/>
                <w:szCs w:val="26"/>
              </w:rPr>
            </w:pPr>
            <w:r w:rsidRPr="00A77AD5">
              <w:rPr>
                <w:rFonts w:ascii="標楷體" w:eastAsia="標楷體" w:hAnsi="標楷體" w:hint="eastAsia"/>
                <w:color w:val="000000"/>
                <w:sz w:val="26"/>
                <w:szCs w:val="26"/>
              </w:rPr>
              <w:t>三、第三次違反者，處新臺幣三萬元罰鍰。</w:t>
            </w:r>
          </w:p>
          <w:p w:rsidR="00B9726A" w:rsidRPr="00A77AD5" w:rsidRDefault="00B9726A" w:rsidP="001715BC">
            <w:pPr>
              <w:ind w:left="491" w:hangingChars="189" w:hanging="491"/>
              <w:rPr>
                <w:rFonts w:ascii="標楷體" w:eastAsia="標楷體" w:hAnsi="標楷體"/>
                <w:color w:val="000000"/>
                <w:sz w:val="26"/>
                <w:szCs w:val="26"/>
              </w:rPr>
            </w:pPr>
            <w:r w:rsidRPr="00A77AD5">
              <w:rPr>
                <w:rFonts w:ascii="標楷體" w:eastAsia="標楷體" w:hAnsi="標楷體" w:hint="eastAsia"/>
                <w:color w:val="000000"/>
                <w:sz w:val="26"/>
                <w:szCs w:val="26"/>
              </w:rPr>
              <w:t>四、</w:t>
            </w:r>
            <w:r w:rsidR="00AB18D9">
              <w:rPr>
                <w:rFonts w:ascii="標楷體" w:eastAsia="標楷體" w:hAnsi="標楷體" w:hint="eastAsia"/>
                <w:color w:val="000000"/>
                <w:sz w:val="26"/>
                <w:szCs w:val="26"/>
              </w:rPr>
              <w:t>第</w:t>
            </w:r>
            <w:r w:rsidRPr="00A77AD5">
              <w:rPr>
                <w:rFonts w:ascii="標楷體" w:eastAsia="標楷體" w:hAnsi="標楷體" w:hint="eastAsia"/>
                <w:color w:val="000000"/>
                <w:sz w:val="26"/>
                <w:szCs w:val="26"/>
              </w:rPr>
              <w:t>四次（含）以上違反或情節重大者，每次處新臺幣五萬元罰鍰。</w:t>
            </w:r>
          </w:p>
        </w:tc>
        <w:tc>
          <w:tcPr>
            <w:tcW w:w="1070" w:type="pct"/>
          </w:tcPr>
          <w:p w:rsidR="00B9726A" w:rsidRPr="00A77AD5" w:rsidRDefault="00B9726A" w:rsidP="002975DD">
            <w:pPr>
              <w:ind w:left="2"/>
              <w:rPr>
                <w:rFonts w:ascii="標楷體" w:eastAsia="標楷體" w:hAnsi="標楷體"/>
                <w:color w:val="000000"/>
                <w:sz w:val="26"/>
                <w:szCs w:val="26"/>
              </w:rPr>
            </w:pPr>
            <w:r w:rsidRPr="00A77AD5">
              <w:rPr>
                <w:rFonts w:ascii="標楷體" w:eastAsia="標楷體" w:hAnsi="標楷體" w:hint="eastAsia"/>
                <w:color w:val="000000"/>
                <w:sz w:val="26"/>
                <w:szCs w:val="26"/>
              </w:rPr>
              <w:t>裁罰之執行應就同一醫院、診所之違反行為次數累計處罰，不因新年度而重新計算。</w:t>
            </w:r>
          </w:p>
        </w:tc>
      </w:tr>
      <w:tr w:rsidR="00B9726A" w:rsidRPr="00A77AD5" w:rsidTr="001715BC">
        <w:trPr>
          <w:trHeight w:val="951"/>
          <w:jc w:val="center"/>
        </w:trPr>
        <w:tc>
          <w:tcPr>
            <w:tcW w:w="227" w:type="pct"/>
            <w:noWrap/>
            <w:vAlign w:val="center"/>
          </w:tcPr>
          <w:p w:rsidR="00B9726A" w:rsidRPr="00A77AD5" w:rsidRDefault="00B9726A"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t>二</w:t>
            </w:r>
          </w:p>
        </w:tc>
        <w:tc>
          <w:tcPr>
            <w:tcW w:w="440" w:type="pct"/>
            <w:noWrap/>
          </w:tcPr>
          <w:p w:rsidR="00B9726A" w:rsidRPr="00A77AD5" w:rsidRDefault="00B9726A"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t>性侵害犯罪防治法第十三條第二項</w:t>
            </w:r>
          </w:p>
        </w:tc>
        <w:tc>
          <w:tcPr>
            <w:tcW w:w="881" w:type="pct"/>
            <w:noWrap/>
          </w:tcPr>
          <w:p w:rsidR="00B9726A" w:rsidRPr="00A77AD5" w:rsidRDefault="00B9726A"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宣傳品、出版品、廣播、電視、網際網路內容或其他媒體，不得報導或記載被害人之姓名或其他足資辨別被害人身分之資訊。</w:t>
            </w:r>
          </w:p>
        </w:tc>
        <w:tc>
          <w:tcPr>
            <w:tcW w:w="531" w:type="pct"/>
            <w:noWrap/>
          </w:tcPr>
          <w:p w:rsidR="00B9726A" w:rsidRPr="00A77AD5" w:rsidRDefault="00B9726A"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由各該目的事業主管機關處新臺幣六萬元以上六十萬元以下罰鍰，並</w:t>
            </w:r>
          </w:p>
          <w:p w:rsidR="00B9726A" w:rsidRPr="00A77AD5" w:rsidRDefault="00B9726A"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得沒入前項物品、命其移除內容或下架或</w:t>
            </w:r>
            <w:proofErr w:type="gramStart"/>
            <w:r w:rsidRPr="00A77AD5">
              <w:rPr>
                <w:rFonts w:ascii="標楷體" w:eastAsia="標楷體" w:hAnsi="標楷體" w:hint="eastAsia"/>
                <w:color w:val="000000"/>
                <w:sz w:val="26"/>
                <w:szCs w:val="26"/>
              </w:rPr>
              <w:t>採</w:t>
            </w:r>
            <w:proofErr w:type="gramEnd"/>
            <w:r w:rsidRPr="00A77AD5">
              <w:rPr>
                <w:rFonts w:ascii="標楷體" w:eastAsia="標楷體" w:hAnsi="標楷體" w:hint="eastAsia"/>
                <w:color w:val="000000"/>
                <w:sz w:val="26"/>
                <w:szCs w:val="26"/>
              </w:rPr>
              <w:t>行其他必要之</w:t>
            </w:r>
            <w:r w:rsidRPr="00A77AD5">
              <w:rPr>
                <w:rFonts w:ascii="標楷體" w:eastAsia="標楷體" w:hAnsi="標楷體" w:hint="eastAsia"/>
                <w:color w:val="000000"/>
                <w:sz w:val="26"/>
                <w:szCs w:val="26"/>
              </w:rPr>
              <w:lastRenderedPageBreak/>
              <w:t>處置；其經通知限期改正，屆期不改正者，得按次處罰。</w:t>
            </w:r>
          </w:p>
        </w:tc>
        <w:tc>
          <w:tcPr>
            <w:tcW w:w="440" w:type="pct"/>
            <w:noWrap/>
          </w:tcPr>
          <w:p w:rsidR="00B9726A" w:rsidRPr="00A77AD5" w:rsidRDefault="00B9726A"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lastRenderedPageBreak/>
              <w:t>負責人或行為人</w:t>
            </w:r>
          </w:p>
        </w:tc>
        <w:tc>
          <w:tcPr>
            <w:tcW w:w="1411" w:type="pct"/>
            <w:noWrap/>
          </w:tcPr>
          <w:p w:rsidR="00B9726A" w:rsidRPr="00A77AD5" w:rsidRDefault="00B9726A" w:rsidP="001715BC">
            <w:pPr>
              <w:ind w:left="460" w:hangingChars="177" w:hanging="460"/>
              <w:rPr>
                <w:rFonts w:ascii="標楷體" w:eastAsia="標楷體" w:hAnsi="標楷體"/>
                <w:color w:val="000000"/>
                <w:sz w:val="26"/>
                <w:szCs w:val="26"/>
              </w:rPr>
            </w:pPr>
            <w:r w:rsidRPr="00A77AD5">
              <w:rPr>
                <w:rFonts w:ascii="標楷體" w:eastAsia="標楷體" w:hAnsi="標楷體" w:hint="eastAsia"/>
                <w:color w:val="000000"/>
                <w:sz w:val="26"/>
                <w:szCs w:val="26"/>
              </w:rPr>
              <w:t>一、第一次違反者，處新臺幣六萬元罰鍰，並限期改正。</w:t>
            </w:r>
          </w:p>
          <w:p w:rsidR="00B9726A" w:rsidRPr="00A77AD5" w:rsidRDefault="00B9726A" w:rsidP="001715BC">
            <w:pPr>
              <w:ind w:left="460" w:hangingChars="177" w:hanging="460"/>
              <w:rPr>
                <w:rFonts w:ascii="標楷體" w:eastAsia="標楷體" w:hAnsi="標楷體"/>
                <w:color w:val="000000"/>
                <w:sz w:val="26"/>
                <w:szCs w:val="26"/>
              </w:rPr>
            </w:pPr>
            <w:r w:rsidRPr="00A77AD5">
              <w:rPr>
                <w:rFonts w:ascii="標楷體" w:eastAsia="標楷體" w:hAnsi="標楷體" w:hint="eastAsia"/>
                <w:color w:val="000000"/>
                <w:sz w:val="26"/>
                <w:szCs w:val="26"/>
              </w:rPr>
              <w:t>二、第二次違反者，處新臺幣十五萬元罰鍰並限期改正。</w:t>
            </w:r>
          </w:p>
          <w:p w:rsidR="00B9726A" w:rsidRPr="00A77AD5" w:rsidRDefault="00B9726A" w:rsidP="001715BC">
            <w:pPr>
              <w:ind w:left="460" w:hangingChars="177" w:hanging="460"/>
              <w:rPr>
                <w:rFonts w:ascii="標楷體" w:eastAsia="標楷體" w:hAnsi="標楷體"/>
                <w:color w:val="000000"/>
                <w:sz w:val="26"/>
                <w:szCs w:val="26"/>
              </w:rPr>
            </w:pPr>
            <w:r w:rsidRPr="00A77AD5">
              <w:rPr>
                <w:rFonts w:ascii="標楷體" w:eastAsia="標楷體" w:hAnsi="標楷體" w:hint="eastAsia"/>
                <w:color w:val="000000"/>
                <w:sz w:val="26"/>
                <w:szCs w:val="26"/>
              </w:rPr>
              <w:t>三、第三次違反者，處新臺幣三十萬元罰鍰並限期改正。</w:t>
            </w:r>
          </w:p>
          <w:p w:rsidR="00B9726A" w:rsidRPr="00A77AD5" w:rsidRDefault="00B9726A" w:rsidP="001715BC">
            <w:pPr>
              <w:ind w:left="460" w:hangingChars="177" w:hanging="460"/>
              <w:rPr>
                <w:rFonts w:ascii="標楷體" w:eastAsia="標楷體" w:hAnsi="標楷體"/>
                <w:color w:val="000000"/>
                <w:sz w:val="26"/>
                <w:szCs w:val="26"/>
              </w:rPr>
            </w:pPr>
            <w:r w:rsidRPr="00A77AD5">
              <w:rPr>
                <w:rFonts w:ascii="標楷體" w:eastAsia="標楷體" w:hAnsi="標楷體" w:hint="eastAsia"/>
                <w:color w:val="000000"/>
                <w:sz w:val="26"/>
                <w:szCs w:val="26"/>
              </w:rPr>
              <w:t>四、第四次（含）以上違反或情節重大者，處新臺幣六十萬元罰鍰並限期改正。</w:t>
            </w:r>
          </w:p>
        </w:tc>
        <w:tc>
          <w:tcPr>
            <w:tcW w:w="1070" w:type="pct"/>
          </w:tcPr>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hint="eastAsia"/>
                <w:color w:val="000000"/>
                <w:sz w:val="26"/>
                <w:szCs w:val="26"/>
              </w:rPr>
              <w:t>一、罰鍰金額以同一事件之違反次數累計處罰。</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hint="eastAsia"/>
                <w:color w:val="000000"/>
                <w:sz w:val="26"/>
                <w:szCs w:val="26"/>
              </w:rPr>
              <w:t>二、「次」定義如下：</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proofErr w:type="gramStart"/>
            <w:r w:rsidRPr="00A77AD5">
              <w:rPr>
                <w:rFonts w:ascii="標楷體" w:eastAsia="標楷體" w:hAnsi="標楷體" w:hint="eastAsia"/>
                <w:color w:val="000000"/>
                <w:sz w:val="26"/>
                <w:szCs w:val="26"/>
              </w:rPr>
              <w:t>一</w:t>
            </w:r>
            <w:proofErr w:type="gramEnd"/>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報紙：以日為單位</w:t>
            </w:r>
            <w:r w:rsidRPr="00A77AD5">
              <w:rPr>
                <w:rFonts w:ascii="標楷體" w:eastAsia="標楷體" w:hAnsi="標楷體"/>
                <w:color w:val="000000"/>
                <w:sz w:val="26"/>
                <w:szCs w:val="26"/>
              </w:rPr>
              <w:t>。</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二</w:t>
            </w:r>
            <w:r w:rsidRPr="00A77AD5">
              <w:rPr>
                <w:rFonts w:ascii="標楷體" w:eastAsia="標楷體" w:hAnsi="標楷體"/>
                <w:color w:val="000000"/>
                <w:sz w:val="26"/>
                <w:szCs w:val="26"/>
              </w:rPr>
              <w:t>)雜誌：以期為單位。</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三</w:t>
            </w:r>
            <w:r w:rsidRPr="00A77AD5">
              <w:rPr>
                <w:rFonts w:ascii="標楷體" w:eastAsia="標楷體" w:hAnsi="標楷體"/>
                <w:color w:val="000000"/>
                <w:sz w:val="26"/>
                <w:szCs w:val="26"/>
              </w:rPr>
              <w:t>)圖書：</w:t>
            </w:r>
            <w:proofErr w:type="gramStart"/>
            <w:r w:rsidRPr="00A77AD5">
              <w:rPr>
                <w:rFonts w:ascii="標楷體" w:eastAsia="標楷體" w:hAnsi="標楷體"/>
                <w:color w:val="000000"/>
                <w:sz w:val="26"/>
                <w:szCs w:val="26"/>
              </w:rPr>
              <w:t>以單冊書籍</w:t>
            </w:r>
            <w:proofErr w:type="gramEnd"/>
            <w:r w:rsidRPr="00A77AD5">
              <w:rPr>
                <w:rFonts w:ascii="標楷體" w:eastAsia="標楷體" w:hAnsi="標楷體"/>
                <w:color w:val="000000"/>
                <w:sz w:val="26"/>
                <w:szCs w:val="26"/>
              </w:rPr>
              <w:t>之出版版次</w:t>
            </w:r>
            <w:r w:rsidRPr="00A77AD5">
              <w:rPr>
                <w:rFonts w:ascii="標楷體" w:eastAsia="標楷體" w:hAnsi="標楷體" w:hint="eastAsia"/>
                <w:color w:val="000000"/>
                <w:sz w:val="26"/>
                <w:szCs w:val="26"/>
              </w:rPr>
              <w:t>或</w:t>
            </w:r>
            <w:r w:rsidRPr="00A77AD5">
              <w:rPr>
                <w:rFonts w:ascii="標楷體" w:eastAsia="標楷體" w:hAnsi="標楷體"/>
                <w:color w:val="000000"/>
                <w:sz w:val="26"/>
                <w:szCs w:val="26"/>
              </w:rPr>
              <w:t>印刷</w:t>
            </w:r>
            <w:proofErr w:type="gramStart"/>
            <w:r w:rsidRPr="00A77AD5">
              <w:rPr>
                <w:rFonts w:ascii="標楷體" w:eastAsia="標楷體" w:hAnsi="標楷體"/>
                <w:color w:val="000000"/>
                <w:sz w:val="26"/>
                <w:szCs w:val="26"/>
              </w:rPr>
              <w:t>刷</w:t>
            </w:r>
            <w:proofErr w:type="gramEnd"/>
            <w:r w:rsidRPr="00A77AD5">
              <w:rPr>
                <w:rFonts w:ascii="標楷體" w:eastAsia="標楷體" w:hAnsi="標楷體"/>
                <w:color w:val="000000"/>
                <w:sz w:val="26"/>
                <w:szCs w:val="26"/>
              </w:rPr>
              <w:t>次為單位。</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四</w:t>
            </w:r>
            <w:r w:rsidRPr="00A77AD5">
              <w:rPr>
                <w:rFonts w:ascii="標楷體" w:eastAsia="標楷體" w:hAnsi="標楷體"/>
                <w:color w:val="000000"/>
                <w:sz w:val="26"/>
                <w:szCs w:val="26"/>
              </w:rPr>
              <w:t>)光碟：以</w:t>
            </w:r>
            <w:r w:rsidRPr="00A77AD5">
              <w:rPr>
                <w:rFonts w:ascii="標楷體" w:eastAsia="標楷體" w:hAnsi="標楷體" w:hint="eastAsia"/>
                <w:color w:val="000000"/>
                <w:sz w:val="26"/>
                <w:szCs w:val="26"/>
              </w:rPr>
              <w:t>散佈次數</w:t>
            </w:r>
            <w:r w:rsidRPr="00A77AD5">
              <w:rPr>
                <w:rFonts w:ascii="標楷體" w:eastAsia="標楷體" w:hAnsi="標楷體"/>
                <w:color w:val="000000"/>
                <w:sz w:val="26"/>
                <w:szCs w:val="26"/>
              </w:rPr>
              <w:t>為單位。</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五</w:t>
            </w: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有線廣播電視系統經營者：</w:t>
            </w:r>
            <w:r w:rsidRPr="00A77AD5">
              <w:rPr>
                <w:rFonts w:ascii="標楷體" w:eastAsia="標楷體" w:hAnsi="標楷體" w:hint="eastAsia"/>
                <w:color w:val="000000"/>
                <w:sz w:val="26"/>
                <w:szCs w:val="26"/>
              </w:rPr>
              <w:lastRenderedPageBreak/>
              <w:t>以日為單位。</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六</w:t>
            </w:r>
            <w:r w:rsidRPr="00A77AD5">
              <w:rPr>
                <w:rFonts w:ascii="標楷體" w:eastAsia="標楷體" w:hAnsi="標楷體"/>
                <w:color w:val="000000"/>
                <w:sz w:val="26"/>
                <w:szCs w:val="26"/>
              </w:rPr>
              <w:t>)</w:t>
            </w:r>
            <w:r w:rsidRPr="00A77AD5">
              <w:rPr>
                <w:rFonts w:ascii="標楷體" w:eastAsia="標楷體" w:hAnsi="標楷體" w:hint="eastAsia"/>
                <w:color w:val="000000"/>
                <w:sz w:val="26"/>
                <w:szCs w:val="26"/>
              </w:rPr>
              <w:t>張貼廣告、招牌廣告、遊動廣告</w:t>
            </w:r>
            <w:r w:rsidR="00916860" w:rsidRPr="00A77AD5">
              <w:rPr>
                <w:rFonts w:ascii="標楷體" w:eastAsia="標楷體" w:hAnsi="標楷體" w:hint="eastAsia"/>
                <w:color w:val="000000"/>
                <w:sz w:val="26"/>
                <w:szCs w:val="26"/>
              </w:rPr>
              <w:t>、</w:t>
            </w:r>
            <w:r w:rsidRPr="00A77AD5">
              <w:rPr>
                <w:rFonts w:ascii="標楷體" w:eastAsia="標楷體" w:hAnsi="標楷體" w:hint="eastAsia"/>
                <w:color w:val="000000"/>
                <w:sz w:val="26"/>
                <w:szCs w:val="26"/>
              </w:rPr>
              <w:t>樹立廣告</w:t>
            </w:r>
            <w:r w:rsidR="00916860" w:rsidRPr="00A77AD5">
              <w:rPr>
                <w:rFonts w:ascii="標楷體" w:eastAsia="標楷體" w:hAnsi="標楷體" w:hint="eastAsia"/>
                <w:color w:val="000000"/>
                <w:sz w:val="26"/>
                <w:szCs w:val="26"/>
              </w:rPr>
              <w:t>、懸掛廣告及夾帶廣告</w:t>
            </w:r>
            <w:r w:rsidRPr="00A77AD5">
              <w:rPr>
                <w:rFonts w:ascii="標楷體" w:eastAsia="標楷體" w:hAnsi="標楷體" w:hint="eastAsia"/>
                <w:color w:val="000000"/>
                <w:sz w:val="26"/>
                <w:szCs w:val="26"/>
              </w:rPr>
              <w:t>：以當次行為完成為單位。</w:t>
            </w:r>
          </w:p>
          <w:p w:rsidR="00B9726A" w:rsidRPr="00A77AD5" w:rsidRDefault="00B9726A" w:rsidP="001715BC">
            <w:pPr>
              <w:ind w:left="494" w:hangingChars="190" w:hanging="494"/>
              <w:rPr>
                <w:rFonts w:ascii="標楷體" w:eastAsia="標楷體" w:hAnsi="標楷體"/>
                <w:color w:val="000000"/>
                <w:sz w:val="26"/>
                <w:szCs w:val="26"/>
              </w:rPr>
            </w:pPr>
            <w:r w:rsidRPr="00A77AD5">
              <w:rPr>
                <w:rFonts w:ascii="標楷體" w:eastAsia="標楷體" w:hAnsi="標楷體" w:hint="eastAsia"/>
                <w:color w:val="000000"/>
                <w:sz w:val="26"/>
                <w:szCs w:val="26"/>
              </w:rPr>
              <w:t>（七）網際網路：以當次行為完成為單位。</w:t>
            </w:r>
          </w:p>
        </w:tc>
      </w:tr>
      <w:tr w:rsidR="00BC3915" w:rsidRPr="00A77AD5" w:rsidTr="001715BC">
        <w:trPr>
          <w:trHeight w:val="953"/>
          <w:jc w:val="center"/>
        </w:trPr>
        <w:tc>
          <w:tcPr>
            <w:tcW w:w="227" w:type="pct"/>
            <w:noWrap/>
            <w:vAlign w:val="center"/>
          </w:tcPr>
          <w:p w:rsidR="00BC3915" w:rsidRPr="00A77AD5" w:rsidRDefault="00BC3915"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lastRenderedPageBreak/>
              <w:t>三</w:t>
            </w:r>
          </w:p>
        </w:tc>
        <w:tc>
          <w:tcPr>
            <w:tcW w:w="440" w:type="pct"/>
            <w:noWrap/>
          </w:tcPr>
          <w:p w:rsidR="00BC3915" w:rsidRPr="00A77AD5" w:rsidRDefault="00BC3915"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t>性侵害犯罪防治法第二十一條第一項第一款、第二款</w:t>
            </w:r>
          </w:p>
          <w:p w:rsidR="00BC3915" w:rsidRPr="00A77AD5" w:rsidRDefault="00BC3915" w:rsidP="001715BC">
            <w:pPr>
              <w:rPr>
                <w:rFonts w:ascii="標楷體" w:eastAsia="標楷體" w:hAnsi="標楷體"/>
                <w:color w:val="000000"/>
                <w:sz w:val="26"/>
                <w:szCs w:val="26"/>
              </w:rPr>
            </w:pPr>
          </w:p>
        </w:tc>
        <w:tc>
          <w:tcPr>
            <w:tcW w:w="881" w:type="pct"/>
            <w:noWrap/>
          </w:tcPr>
          <w:p w:rsidR="00BC3915" w:rsidRPr="00A77AD5" w:rsidRDefault="00BC3915"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加害人經通知，無正當理由不到場或拒絕接受評估、身心治療或輔導教育者；無正當理由不按時到場接受身心治療或輔導教育或接受之時數不足者。</w:t>
            </w:r>
          </w:p>
        </w:tc>
        <w:tc>
          <w:tcPr>
            <w:tcW w:w="531" w:type="pct"/>
            <w:noWrap/>
          </w:tcPr>
          <w:p w:rsidR="00BC3915" w:rsidRPr="00A77AD5" w:rsidRDefault="00BC3915"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得處新臺幣一萬元以上五萬元以下罰鍰，並限期命其履行。</w:t>
            </w:r>
          </w:p>
        </w:tc>
        <w:tc>
          <w:tcPr>
            <w:tcW w:w="440" w:type="pct"/>
            <w:noWrap/>
          </w:tcPr>
          <w:p w:rsidR="00BC3915" w:rsidRPr="00A77AD5" w:rsidRDefault="00BC3915"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行為人</w:t>
            </w:r>
          </w:p>
        </w:tc>
        <w:tc>
          <w:tcPr>
            <w:tcW w:w="1411" w:type="pct"/>
            <w:noWrap/>
          </w:tcPr>
          <w:p w:rsidR="00BC3915" w:rsidRPr="00A77AD5" w:rsidRDefault="00BC3915" w:rsidP="009C3A18">
            <w:pPr>
              <w:ind w:left="520" w:hangingChars="200" w:hanging="520"/>
              <w:rPr>
                <w:rFonts w:ascii="標楷體" w:eastAsia="標楷體" w:hAnsi="標楷體"/>
                <w:color w:val="000000"/>
                <w:sz w:val="26"/>
                <w:szCs w:val="26"/>
              </w:rPr>
            </w:pPr>
            <w:r w:rsidRPr="00A77AD5">
              <w:rPr>
                <w:rFonts w:ascii="標楷體" w:eastAsia="標楷體" w:hAnsi="標楷體" w:hint="eastAsia"/>
                <w:color w:val="000000"/>
                <w:sz w:val="26"/>
                <w:szCs w:val="26"/>
              </w:rPr>
              <w:t>經審核無正當理由者：</w:t>
            </w:r>
          </w:p>
          <w:p w:rsidR="00BC3915" w:rsidRPr="00A77AD5" w:rsidRDefault="00BC3915" w:rsidP="009C3A18">
            <w:pPr>
              <w:ind w:left="494" w:hangingChars="190" w:hanging="494"/>
              <w:rPr>
                <w:rFonts w:ascii="標楷體" w:eastAsia="標楷體" w:hAnsi="標楷體"/>
                <w:color w:val="000000"/>
                <w:sz w:val="26"/>
                <w:szCs w:val="26"/>
              </w:rPr>
            </w:pPr>
            <w:r>
              <w:rPr>
                <w:rFonts w:ascii="標楷體" w:eastAsia="標楷體" w:hAnsi="標楷體" w:hint="eastAsia"/>
                <w:color w:val="000000"/>
                <w:sz w:val="26"/>
                <w:szCs w:val="26"/>
              </w:rPr>
              <w:t>一、</w:t>
            </w:r>
            <w:r w:rsidRPr="00A77AD5">
              <w:rPr>
                <w:rFonts w:ascii="標楷體" w:eastAsia="標楷體" w:hAnsi="標楷體" w:hint="eastAsia"/>
                <w:color w:val="000000"/>
                <w:sz w:val="26"/>
                <w:szCs w:val="26"/>
              </w:rPr>
              <w:t>第一次違反者，處新臺幣一萬元罰鍰，並限期履行。</w:t>
            </w:r>
          </w:p>
          <w:p w:rsidR="00BC3915" w:rsidRPr="00A77AD5" w:rsidRDefault="00BC3915" w:rsidP="009C3A18">
            <w:pPr>
              <w:ind w:left="494" w:hangingChars="190" w:hanging="494"/>
              <w:rPr>
                <w:rFonts w:ascii="標楷體" w:eastAsia="標楷體" w:hAnsi="標楷體"/>
                <w:color w:val="000000"/>
                <w:sz w:val="26"/>
                <w:szCs w:val="26"/>
              </w:rPr>
            </w:pPr>
            <w:r>
              <w:rPr>
                <w:rFonts w:ascii="標楷體" w:eastAsia="標楷體" w:hAnsi="標楷體" w:hint="eastAsia"/>
                <w:color w:val="000000"/>
                <w:sz w:val="26"/>
                <w:szCs w:val="26"/>
              </w:rPr>
              <w:t>二、</w:t>
            </w:r>
            <w:r w:rsidRPr="00A77AD5">
              <w:rPr>
                <w:rFonts w:ascii="標楷體" w:eastAsia="標楷體" w:hAnsi="標楷體" w:hint="eastAsia"/>
                <w:color w:val="000000"/>
                <w:sz w:val="26"/>
                <w:szCs w:val="26"/>
              </w:rPr>
              <w:t>第二次違反者，處新臺幣二萬元罰鍰，並限期履行。</w:t>
            </w:r>
          </w:p>
          <w:p w:rsidR="00BC3915" w:rsidRPr="00A77AD5" w:rsidRDefault="00BC3915" w:rsidP="009C3A18">
            <w:pPr>
              <w:ind w:left="494" w:hangingChars="190" w:hanging="494"/>
              <w:rPr>
                <w:rFonts w:ascii="標楷體" w:eastAsia="標楷體" w:hAnsi="標楷體"/>
                <w:color w:val="000000"/>
                <w:sz w:val="26"/>
                <w:szCs w:val="26"/>
              </w:rPr>
            </w:pPr>
            <w:r>
              <w:rPr>
                <w:rFonts w:ascii="標楷體" w:eastAsia="標楷體" w:hAnsi="標楷體" w:hint="eastAsia"/>
                <w:color w:val="000000"/>
                <w:sz w:val="26"/>
                <w:szCs w:val="26"/>
              </w:rPr>
              <w:t>三、</w:t>
            </w:r>
            <w:r w:rsidRPr="00A77AD5">
              <w:rPr>
                <w:rFonts w:ascii="標楷體" w:eastAsia="標楷體" w:hAnsi="標楷體" w:hint="eastAsia"/>
                <w:color w:val="000000"/>
                <w:sz w:val="26"/>
                <w:szCs w:val="26"/>
              </w:rPr>
              <w:t>第三次違反者，處</w:t>
            </w:r>
            <w:r>
              <w:rPr>
                <w:rFonts w:ascii="標楷體" w:eastAsia="標楷體" w:hAnsi="標楷體" w:hint="eastAsia"/>
                <w:color w:val="000000"/>
                <w:sz w:val="26"/>
                <w:szCs w:val="26"/>
              </w:rPr>
              <w:t>新</w:t>
            </w:r>
            <w:r w:rsidRPr="00A77AD5">
              <w:rPr>
                <w:rFonts w:ascii="標楷體" w:eastAsia="標楷體" w:hAnsi="標楷體" w:hint="eastAsia"/>
                <w:color w:val="000000"/>
                <w:sz w:val="26"/>
                <w:szCs w:val="26"/>
              </w:rPr>
              <w:t xml:space="preserve">     </w:t>
            </w:r>
          </w:p>
          <w:p w:rsidR="00BC3915" w:rsidRPr="00A77AD5" w:rsidRDefault="00BC3915" w:rsidP="009C3A18">
            <w:pPr>
              <w:ind w:left="494" w:hangingChars="190" w:hanging="494"/>
              <w:rPr>
                <w:rFonts w:ascii="標楷體" w:eastAsia="標楷體" w:hAnsi="標楷體"/>
                <w:color w:val="000000"/>
                <w:sz w:val="26"/>
                <w:szCs w:val="26"/>
              </w:rPr>
            </w:pPr>
            <w:r w:rsidRPr="00A77AD5">
              <w:rPr>
                <w:rFonts w:ascii="標楷體" w:eastAsia="標楷體" w:hAnsi="標楷體" w:hint="eastAsia"/>
                <w:color w:val="000000"/>
                <w:sz w:val="26"/>
                <w:szCs w:val="26"/>
              </w:rPr>
              <w:t xml:space="preserve">    臺幣三萬元罰鍰，並限期履行。</w:t>
            </w:r>
          </w:p>
          <w:p w:rsidR="00BC3915" w:rsidRPr="00A77AD5" w:rsidRDefault="00BC3915" w:rsidP="009C3A18">
            <w:pPr>
              <w:ind w:left="494" w:hangingChars="190" w:hanging="494"/>
              <w:rPr>
                <w:rFonts w:ascii="標楷體" w:eastAsia="標楷體" w:hAnsi="標楷體"/>
                <w:color w:val="000000"/>
                <w:sz w:val="26"/>
                <w:szCs w:val="26"/>
              </w:rPr>
            </w:pPr>
            <w:r>
              <w:rPr>
                <w:rFonts w:ascii="標楷體" w:eastAsia="標楷體" w:hAnsi="標楷體" w:hint="eastAsia"/>
                <w:color w:val="000000"/>
                <w:sz w:val="26"/>
                <w:szCs w:val="26"/>
              </w:rPr>
              <w:t>四、</w:t>
            </w:r>
            <w:r w:rsidRPr="00A77AD5">
              <w:rPr>
                <w:rFonts w:ascii="標楷體" w:eastAsia="標楷體" w:hAnsi="標楷體" w:hint="eastAsia"/>
                <w:color w:val="000000"/>
                <w:sz w:val="26"/>
                <w:szCs w:val="26"/>
              </w:rPr>
              <w:t>第四次（含）以上違反或情節重大者，每次處新臺幣五萬元罰鍰，並限期履行。</w:t>
            </w:r>
          </w:p>
          <w:p w:rsidR="00BC3915" w:rsidRPr="00A77AD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五、</w:t>
            </w:r>
            <w:r w:rsidRPr="00A77AD5">
              <w:rPr>
                <w:rFonts w:ascii="標楷體" w:eastAsia="標楷體" w:hAnsi="標楷體" w:hint="eastAsia"/>
                <w:color w:val="000000"/>
                <w:sz w:val="26"/>
                <w:szCs w:val="26"/>
              </w:rPr>
              <w:t>經審核有正當理由者，限期接受評估、身心治療或輔導教育，屆期仍不履行者，依上開</w:t>
            </w:r>
            <w:r w:rsidRPr="00BC3915">
              <w:rPr>
                <w:rFonts w:ascii="標楷體" w:eastAsia="標楷體" w:hAnsi="標楷體" w:hint="eastAsia"/>
                <w:color w:val="000000"/>
                <w:sz w:val="26"/>
                <w:szCs w:val="26"/>
              </w:rPr>
              <w:t>各點</w:t>
            </w:r>
            <w:r w:rsidRPr="00A77AD5">
              <w:rPr>
                <w:rFonts w:ascii="標楷體" w:eastAsia="標楷體" w:hAnsi="標楷體" w:hint="eastAsia"/>
                <w:color w:val="000000"/>
                <w:sz w:val="26"/>
                <w:szCs w:val="26"/>
              </w:rPr>
              <w:t>為之。</w:t>
            </w:r>
          </w:p>
        </w:tc>
        <w:tc>
          <w:tcPr>
            <w:tcW w:w="1070" w:type="pct"/>
          </w:tcPr>
          <w:p w:rsidR="00BC3915" w:rsidRPr="00A77AD5" w:rsidRDefault="00BC3915" w:rsidP="009C3A18">
            <w:pPr>
              <w:ind w:left="494" w:hangingChars="190" w:hanging="494"/>
              <w:rPr>
                <w:rFonts w:ascii="標楷體" w:eastAsia="標楷體" w:hAnsi="標楷體"/>
                <w:color w:val="000000"/>
                <w:sz w:val="26"/>
                <w:szCs w:val="26"/>
              </w:rPr>
            </w:pPr>
            <w:r w:rsidRPr="00A77AD5">
              <w:rPr>
                <w:rFonts w:ascii="標楷體" w:eastAsia="標楷體" w:hAnsi="標楷體" w:hint="eastAsia"/>
                <w:color w:val="000000"/>
                <w:sz w:val="26"/>
                <w:szCs w:val="26"/>
              </w:rPr>
              <w:t>一、裁罰之執行應就同一加害人之違反行為次數累計處罰，不因新年度而重新計算。</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二、履行期限依各主管機關本職權依專業並衡酌實際情況定之。</w:t>
            </w:r>
          </w:p>
          <w:p w:rsidR="00BC3915" w:rsidRPr="00A77AD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三、</w:t>
            </w:r>
            <w:r w:rsidRPr="00A77AD5">
              <w:rPr>
                <w:rFonts w:ascii="標楷體" w:eastAsia="標楷體" w:hAnsi="標楷體" w:hint="eastAsia"/>
                <w:color w:val="000000"/>
                <w:sz w:val="26"/>
                <w:szCs w:val="26"/>
              </w:rPr>
              <w:t>加害</w:t>
            </w:r>
            <w:r w:rsidRPr="00BC3915">
              <w:rPr>
                <w:rFonts w:ascii="標楷體" w:eastAsia="標楷體" w:hAnsi="標楷體" w:hint="eastAsia"/>
                <w:color w:val="000000"/>
                <w:sz w:val="26"/>
                <w:szCs w:val="26"/>
              </w:rPr>
              <w:t>人第四次（含）以上違反或情節重大者，經限期履行，屆期仍不履行者，依性侵害犯罪防治法第二十一條</w:t>
            </w:r>
            <w:r w:rsidRPr="00A77AD5">
              <w:rPr>
                <w:rFonts w:ascii="標楷體" w:eastAsia="標楷體" w:hAnsi="標楷體" w:hint="eastAsia"/>
                <w:color w:val="000000"/>
                <w:sz w:val="26"/>
                <w:szCs w:val="26"/>
              </w:rPr>
              <w:t>第二項及行政罰法第三十二條第一項規定，移送該管司法機關。</w:t>
            </w:r>
          </w:p>
        </w:tc>
      </w:tr>
      <w:tr w:rsidR="00BC3915" w:rsidRPr="00A77AD5" w:rsidTr="001715BC">
        <w:trPr>
          <w:trHeight w:val="1110"/>
          <w:jc w:val="center"/>
        </w:trPr>
        <w:tc>
          <w:tcPr>
            <w:tcW w:w="227" w:type="pct"/>
            <w:vAlign w:val="center"/>
          </w:tcPr>
          <w:p w:rsidR="00BC3915" w:rsidRPr="00A77AD5" w:rsidRDefault="00BC3915"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lastRenderedPageBreak/>
              <w:t>四</w:t>
            </w:r>
          </w:p>
        </w:tc>
        <w:tc>
          <w:tcPr>
            <w:tcW w:w="440" w:type="pct"/>
          </w:tcPr>
          <w:p w:rsidR="00BC3915" w:rsidRPr="00A77AD5" w:rsidRDefault="00BC3915" w:rsidP="001715BC">
            <w:pPr>
              <w:rPr>
                <w:rFonts w:ascii="標楷體" w:eastAsia="標楷體" w:hAnsi="標楷體"/>
                <w:color w:val="000000"/>
                <w:sz w:val="26"/>
                <w:szCs w:val="26"/>
              </w:rPr>
            </w:pPr>
            <w:r w:rsidRPr="00A77AD5">
              <w:rPr>
                <w:rFonts w:ascii="標楷體" w:eastAsia="標楷體" w:hAnsi="標楷體" w:hint="eastAsia"/>
                <w:color w:val="000000"/>
                <w:sz w:val="26"/>
                <w:szCs w:val="26"/>
              </w:rPr>
              <w:t>性侵害犯罪防治法第二十一條第一項第三款</w:t>
            </w:r>
          </w:p>
        </w:tc>
        <w:tc>
          <w:tcPr>
            <w:tcW w:w="881" w:type="pct"/>
          </w:tcPr>
          <w:p w:rsidR="00BC3915" w:rsidRPr="00A77AD5" w:rsidRDefault="00BC3915"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加害人未依第二十三條第一項、第二項及第四項規定定期辦理登記、報到、資料異動或接受查訪者。</w:t>
            </w:r>
          </w:p>
        </w:tc>
        <w:tc>
          <w:tcPr>
            <w:tcW w:w="531" w:type="pct"/>
          </w:tcPr>
          <w:p w:rsidR="00BC3915" w:rsidRPr="00A77AD5" w:rsidRDefault="00BC3915" w:rsidP="001715BC">
            <w:pPr>
              <w:jc w:val="both"/>
              <w:rPr>
                <w:rFonts w:ascii="標楷體" w:eastAsia="標楷體" w:hAnsi="標楷體"/>
                <w:color w:val="000000"/>
                <w:sz w:val="26"/>
                <w:szCs w:val="26"/>
              </w:rPr>
            </w:pPr>
            <w:r w:rsidRPr="00A77AD5">
              <w:rPr>
                <w:rFonts w:ascii="標楷體" w:eastAsia="標楷體" w:hAnsi="標楷體" w:hint="eastAsia"/>
                <w:color w:val="000000"/>
                <w:sz w:val="26"/>
                <w:szCs w:val="26"/>
              </w:rPr>
              <w:t>得處新臺幣一萬元以上五萬元以下罰鍰，並限期命其履行。</w:t>
            </w:r>
          </w:p>
        </w:tc>
        <w:tc>
          <w:tcPr>
            <w:tcW w:w="440" w:type="pct"/>
          </w:tcPr>
          <w:p w:rsidR="00BC3915" w:rsidRPr="00A77AD5" w:rsidRDefault="00BC3915" w:rsidP="001715BC">
            <w:pPr>
              <w:jc w:val="center"/>
              <w:rPr>
                <w:rFonts w:ascii="標楷體" w:eastAsia="標楷體" w:hAnsi="標楷體"/>
                <w:color w:val="000000"/>
                <w:sz w:val="26"/>
                <w:szCs w:val="26"/>
              </w:rPr>
            </w:pPr>
            <w:r w:rsidRPr="00A77AD5">
              <w:rPr>
                <w:rFonts w:ascii="標楷體" w:eastAsia="標楷體" w:hAnsi="標楷體" w:hint="eastAsia"/>
                <w:color w:val="000000"/>
                <w:sz w:val="26"/>
                <w:szCs w:val="26"/>
              </w:rPr>
              <w:t>行為人</w:t>
            </w:r>
          </w:p>
        </w:tc>
        <w:tc>
          <w:tcPr>
            <w:tcW w:w="1411" w:type="pct"/>
          </w:tcPr>
          <w:p w:rsidR="00BC3915" w:rsidRPr="00BC3915" w:rsidRDefault="00BC3915" w:rsidP="009C3A18">
            <w:pPr>
              <w:ind w:left="520" w:hangingChars="200" w:hanging="520"/>
              <w:rPr>
                <w:rFonts w:ascii="標楷體" w:eastAsia="標楷體" w:hAnsi="標楷體"/>
                <w:color w:val="000000"/>
                <w:sz w:val="26"/>
                <w:szCs w:val="26"/>
              </w:rPr>
            </w:pPr>
            <w:r w:rsidRPr="00BC3915">
              <w:rPr>
                <w:rFonts w:ascii="標楷體" w:eastAsia="標楷體" w:hAnsi="標楷體" w:hint="eastAsia"/>
                <w:color w:val="000000"/>
                <w:sz w:val="26"/>
                <w:szCs w:val="26"/>
              </w:rPr>
              <w:t>經審核無正當理由者：</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一、第一次違反者，處新臺幣一萬元罰鍰，並限期履行。</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二、第二次違反者，處新臺幣二萬元罰鍰，並限期履行。</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三、第三次違反者，處新臺幣三萬元罰鍰，並限期履行。</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四、第四次（含）以上違反或情節重大者，每次處新臺幣五萬元罰鍰，並限期履行。</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五、經審核有正當理由者，限期辦理登記、報到、資料異動或接受查訪，屆期仍不履行者，依上開各點為之。</w:t>
            </w:r>
          </w:p>
        </w:tc>
        <w:tc>
          <w:tcPr>
            <w:tcW w:w="1070" w:type="pct"/>
          </w:tcPr>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一、裁罰之執行應就同一加害人之違反行為次數累計處罰，不因新年度而重新計算。</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二、履行期限依各主管機關本職權依專業並衡酌實際情況定之。</w:t>
            </w:r>
          </w:p>
          <w:p w:rsidR="00BC3915" w:rsidRPr="00BC3915" w:rsidRDefault="00BC3915" w:rsidP="009C3A18">
            <w:pPr>
              <w:ind w:left="494" w:hangingChars="190" w:hanging="494"/>
              <w:rPr>
                <w:rFonts w:ascii="標楷體" w:eastAsia="標楷體" w:hAnsi="標楷體"/>
                <w:color w:val="000000"/>
                <w:sz w:val="26"/>
                <w:szCs w:val="26"/>
              </w:rPr>
            </w:pPr>
            <w:r w:rsidRPr="00BC3915">
              <w:rPr>
                <w:rFonts w:ascii="標楷體" w:eastAsia="標楷體" w:hAnsi="標楷體" w:hint="eastAsia"/>
                <w:color w:val="000000"/>
                <w:sz w:val="26"/>
                <w:szCs w:val="26"/>
              </w:rPr>
              <w:t>三、加害人第四次（含）以上違反或情節重大者，經限期履行，屆期仍不履行者，依性侵害犯罪防治法第二十一條第二項及行政罰法第三十二條第一項規定，移送該管司法機關。</w:t>
            </w:r>
          </w:p>
        </w:tc>
      </w:tr>
    </w:tbl>
    <w:p w:rsidR="00B31A94" w:rsidRPr="00A77AD5" w:rsidRDefault="008F3A1B" w:rsidP="00B04614">
      <w:pPr>
        <w:pStyle w:val="a7"/>
        <w:adjustRightInd w:val="0"/>
        <w:spacing w:beforeLines="50" w:line="420" w:lineRule="atLeast"/>
        <w:jc w:val="both"/>
        <w:rPr>
          <w:color w:val="000000"/>
        </w:rPr>
      </w:pPr>
      <w:r w:rsidRPr="00A77AD5">
        <w:rPr>
          <w:rFonts w:hint="eastAsia"/>
          <w:color w:val="000000"/>
        </w:rPr>
        <w:t xml:space="preserve"> </w:t>
      </w:r>
    </w:p>
    <w:sectPr w:rsidR="00B31A94" w:rsidRPr="00A77AD5" w:rsidSect="00A603A9">
      <w:footerReference w:type="even" r:id="rId7"/>
      <w:footerReference w:type="default" r:id="rId8"/>
      <w:pgSz w:w="11906" w:h="16838"/>
      <w:pgMar w:top="1361" w:right="1701" w:bottom="136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DDC" w:rsidRDefault="007B2DDC">
      <w:r>
        <w:separator/>
      </w:r>
    </w:p>
  </w:endnote>
  <w:endnote w:type="continuationSeparator" w:id="0">
    <w:p w:rsidR="007B2DDC" w:rsidRDefault="007B2D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23" w:rsidRDefault="00B04614" w:rsidP="004E3E12">
    <w:pPr>
      <w:pStyle w:val="a5"/>
      <w:framePr w:wrap="around" w:vAnchor="text" w:hAnchor="margin" w:xAlign="center" w:y="1"/>
      <w:rPr>
        <w:rStyle w:val="a6"/>
      </w:rPr>
    </w:pPr>
    <w:r>
      <w:rPr>
        <w:rStyle w:val="a6"/>
      </w:rPr>
      <w:fldChar w:fldCharType="begin"/>
    </w:r>
    <w:r w:rsidR="005C3823">
      <w:rPr>
        <w:rStyle w:val="a6"/>
      </w:rPr>
      <w:instrText xml:space="preserve">PAGE  </w:instrText>
    </w:r>
    <w:r>
      <w:rPr>
        <w:rStyle w:val="a6"/>
      </w:rPr>
      <w:fldChar w:fldCharType="end"/>
    </w:r>
  </w:p>
  <w:p w:rsidR="005C3823" w:rsidRDefault="005C382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823" w:rsidRDefault="00B04614" w:rsidP="004E3E12">
    <w:pPr>
      <w:pStyle w:val="a5"/>
      <w:framePr w:wrap="around" w:vAnchor="text" w:hAnchor="margin" w:xAlign="center" w:y="1"/>
      <w:rPr>
        <w:rStyle w:val="a6"/>
      </w:rPr>
    </w:pPr>
    <w:r>
      <w:rPr>
        <w:rStyle w:val="a6"/>
      </w:rPr>
      <w:fldChar w:fldCharType="begin"/>
    </w:r>
    <w:r w:rsidR="005C3823">
      <w:rPr>
        <w:rStyle w:val="a6"/>
      </w:rPr>
      <w:instrText xml:space="preserve">PAGE  </w:instrText>
    </w:r>
    <w:r>
      <w:rPr>
        <w:rStyle w:val="a6"/>
      </w:rPr>
      <w:fldChar w:fldCharType="separate"/>
    </w:r>
    <w:r w:rsidR="00A603A9">
      <w:rPr>
        <w:rStyle w:val="a6"/>
        <w:noProof/>
      </w:rPr>
      <w:t>3</w:t>
    </w:r>
    <w:r>
      <w:rPr>
        <w:rStyle w:val="a6"/>
      </w:rPr>
      <w:fldChar w:fldCharType="end"/>
    </w:r>
  </w:p>
  <w:p w:rsidR="005C3823" w:rsidRDefault="005C382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DDC" w:rsidRDefault="007B2DDC">
      <w:r>
        <w:separator/>
      </w:r>
    </w:p>
  </w:footnote>
  <w:footnote w:type="continuationSeparator" w:id="0">
    <w:p w:rsidR="007B2DDC" w:rsidRDefault="007B2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1CD"/>
    <w:multiLevelType w:val="hybridMultilevel"/>
    <w:tmpl w:val="467EA51C"/>
    <w:lvl w:ilvl="0" w:tplc="C8E234DC">
      <w:start w:val="1"/>
      <w:numFmt w:val="taiwaneseCountingThousand"/>
      <w:lvlText w:val="%1、"/>
      <w:lvlJc w:val="left"/>
      <w:pPr>
        <w:tabs>
          <w:tab w:val="num" w:pos="680"/>
        </w:tabs>
        <w:ind w:left="680" w:hanging="6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2C70DB"/>
    <w:multiLevelType w:val="hybridMultilevel"/>
    <w:tmpl w:val="F07A0CB4"/>
    <w:lvl w:ilvl="0" w:tplc="9D8ED4FA">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3C0BDA"/>
    <w:multiLevelType w:val="hybridMultilevel"/>
    <w:tmpl w:val="10D41BD0"/>
    <w:lvl w:ilvl="0" w:tplc="BC7EAC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0DCC"/>
    <w:rsid w:val="0000222D"/>
    <w:rsid w:val="0000343B"/>
    <w:rsid w:val="00006143"/>
    <w:rsid w:val="00007CE0"/>
    <w:rsid w:val="000243BB"/>
    <w:rsid w:val="00035B65"/>
    <w:rsid w:val="00043155"/>
    <w:rsid w:val="0005156C"/>
    <w:rsid w:val="0005197B"/>
    <w:rsid w:val="00056761"/>
    <w:rsid w:val="00061389"/>
    <w:rsid w:val="000629F6"/>
    <w:rsid w:val="00074A3B"/>
    <w:rsid w:val="00083389"/>
    <w:rsid w:val="000A14FC"/>
    <w:rsid w:val="000A3D8E"/>
    <w:rsid w:val="000A7529"/>
    <w:rsid w:val="000A7A85"/>
    <w:rsid w:val="000A7C1C"/>
    <w:rsid w:val="000B1E5A"/>
    <w:rsid w:val="000C0B35"/>
    <w:rsid w:val="000C4287"/>
    <w:rsid w:val="000C63BB"/>
    <w:rsid w:val="000E2F7C"/>
    <w:rsid w:val="000F351E"/>
    <w:rsid w:val="000F596B"/>
    <w:rsid w:val="000F6E22"/>
    <w:rsid w:val="0011364C"/>
    <w:rsid w:val="0012226F"/>
    <w:rsid w:val="001333A5"/>
    <w:rsid w:val="00133C87"/>
    <w:rsid w:val="00137B4C"/>
    <w:rsid w:val="001405A6"/>
    <w:rsid w:val="00142873"/>
    <w:rsid w:val="00142D27"/>
    <w:rsid w:val="00154164"/>
    <w:rsid w:val="001715BC"/>
    <w:rsid w:val="00184022"/>
    <w:rsid w:val="0018509E"/>
    <w:rsid w:val="001A717F"/>
    <w:rsid w:val="001A7688"/>
    <w:rsid w:val="001B19DA"/>
    <w:rsid w:val="001C7A50"/>
    <w:rsid w:val="001E0E22"/>
    <w:rsid w:val="001E6758"/>
    <w:rsid w:val="001F07AC"/>
    <w:rsid w:val="001F5000"/>
    <w:rsid w:val="001F5A58"/>
    <w:rsid w:val="00216EE9"/>
    <w:rsid w:val="00237021"/>
    <w:rsid w:val="00241B75"/>
    <w:rsid w:val="002449C0"/>
    <w:rsid w:val="002451EE"/>
    <w:rsid w:val="0024654C"/>
    <w:rsid w:val="00260804"/>
    <w:rsid w:val="00270267"/>
    <w:rsid w:val="002706D7"/>
    <w:rsid w:val="00270BD4"/>
    <w:rsid w:val="00271301"/>
    <w:rsid w:val="0027431D"/>
    <w:rsid w:val="00276992"/>
    <w:rsid w:val="00277C35"/>
    <w:rsid w:val="00280185"/>
    <w:rsid w:val="00283D9E"/>
    <w:rsid w:val="00290F2E"/>
    <w:rsid w:val="00295E05"/>
    <w:rsid w:val="00296185"/>
    <w:rsid w:val="002975DD"/>
    <w:rsid w:val="002A1005"/>
    <w:rsid w:val="002A108D"/>
    <w:rsid w:val="002B4C52"/>
    <w:rsid w:val="002D1CD3"/>
    <w:rsid w:val="002D62B4"/>
    <w:rsid w:val="002E7E92"/>
    <w:rsid w:val="002F189A"/>
    <w:rsid w:val="002F3B93"/>
    <w:rsid w:val="002F44F5"/>
    <w:rsid w:val="003003B2"/>
    <w:rsid w:val="00303819"/>
    <w:rsid w:val="00304E47"/>
    <w:rsid w:val="003130A5"/>
    <w:rsid w:val="003251F3"/>
    <w:rsid w:val="0032725F"/>
    <w:rsid w:val="003347F0"/>
    <w:rsid w:val="0034276A"/>
    <w:rsid w:val="00342837"/>
    <w:rsid w:val="00342DFA"/>
    <w:rsid w:val="00352F8F"/>
    <w:rsid w:val="00355156"/>
    <w:rsid w:val="0036055E"/>
    <w:rsid w:val="00360597"/>
    <w:rsid w:val="00361ECD"/>
    <w:rsid w:val="003657F7"/>
    <w:rsid w:val="00396C14"/>
    <w:rsid w:val="00397790"/>
    <w:rsid w:val="003B1600"/>
    <w:rsid w:val="003C16EF"/>
    <w:rsid w:val="003C490E"/>
    <w:rsid w:val="003C6355"/>
    <w:rsid w:val="003D049A"/>
    <w:rsid w:val="003E17B5"/>
    <w:rsid w:val="003E2CD9"/>
    <w:rsid w:val="003E5E74"/>
    <w:rsid w:val="00420205"/>
    <w:rsid w:val="004216EE"/>
    <w:rsid w:val="00422177"/>
    <w:rsid w:val="00422712"/>
    <w:rsid w:val="0043455E"/>
    <w:rsid w:val="00435DE9"/>
    <w:rsid w:val="004505E7"/>
    <w:rsid w:val="00456B6D"/>
    <w:rsid w:val="0046694C"/>
    <w:rsid w:val="00483EEE"/>
    <w:rsid w:val="00484509"/>
    <w:rsid w:val="0049043D"/>
    <w:rsid w:val="00491D18"/>
    <w:rsid w:val="00494BBD"/>
    <w:rsid w:val="004A0A5C"/>
    <w:rsid w:val="004B63CF"/>
    <w:rsid w:val="004C7FBB"/>
    <w:rsid w:val="004D74E0"/>
    <w:rsid w:val="004E3E12"/>
    <w:rsid w:val="004E467F"/>
    <w:rsid w:val="004E6EDC"/>
    <w:rsid w:val="004F30EE"/>
    <w:rsid w:val="004F5781"/>
    <w:rsid w:val="004F7AAD"/>
    <w:rsid w:val="005105AA"/>
    <w:rsid w:val="00512120"/>
    <w:rsid w:val="005131B6"/>
    <w:rsid w:val="00527160"/>
    <w:rsid w:val="005304CE"/>
    <w:rsid w:val="00531B36"/>
    <w:rsid w:val="0053611C"/>
    <w:rsid w:val="00550BE1"/>
    <w:rsid w:val="00554F86"/>
    <w:rsid w:val="00555390"/>
    <w:rsid w:val="00557B24"/>
    <w:rsid w:val="00563D16"/>
    <w:rsid w:val="00564216"/>
    <w:rsid w:val="00584D60"/>
    <w:rsid w:val="00585B4D"/>
    <w:rsid w:val="00587760"/>
    <w:rsid w:val="005A4E99"/>
    <w:rsid w:val="005A755F"/>
    <w:rsid w:val="005B34AA"/>
    <w:rsid w:val="005B43E7"/>
    <w:rsid w:val="005B7924"/>
    <w:rsid w:val="005C3823"/>
    <w:rsid w:val="005D25FE"/>
    <w:rsid w:val="005D2A2A"/>
    <w:rsid w:val="005F5F95"/>
    <w:rsid w:val="006265D4"/>
    <w:rsid w:val="00627F94"/>
    <w:rsid w:val="00632581"/>
    <w:rsid w:val="00633DDE"/>
    <w:rsid w:val="00651E0F"/>
    <w:rsid w:val="00661170"/>
    <w:rsid w:val="00661697"/>
    <w:rsid w:val="006636C7"/>
    <w:rsid w:val="00664921"/>
    <w:rsid w:val="00666FE7"/>
    <w:rsid w:val="00670E2E"/>
    <w:rsid w:val="00685007"/>
    <w:rsid w:val="00695685"/>
    <w:rsid w:val="00696848"/>
    <w:rsid w:val="006B118A"/>
    <w:rsid w:val="006B2531"/>
    <w:rsid w:val="006B502A"/>
    <w:rsid w:val="006C7833"/>
    <w:rsid w:val="006D2009"/>
    <w:rsid w:val="006D55FC"/>
    <w:rsid w:val="006D5B70"/>
    <w:rsid w:val="006E45DD"/>
    <w:rsid w:val="006F0513"/>
    <w:rsid w:val="006F0FE3"/>
    <w:rsid w:val="00702F75"/>
    <w:rsid w:val="0071167E"/>
    <w:rsid w:val="0072198E"/>
    <w:rsid w:val="007244E9"/>
    <w:rsid w:val="0074532F"/>
    <w:rsid w:val="00746A24"/>
    <w:rsid w:val="007609DB"/>
    <w:rsid w:val="0076699C"/>
    <w:rsid w:val="00791288"/>
    <w:rsid w:val="00794BFF"/>
    <w:rsid w:val="007A1A45"/>
    <w:rsid w:val="007A3E5A"/>
    <w:rsid w:val="007A4AE5"/>
    <w:rsid w:val="007B2DDC"/>
    <w:rsid w:val="007B4950"/>
    <w:rsid w:val="007C1189"/>
    <w:rsid w:val="007C3365"/>
    <w:rsid w:val="007D09A9"/>
    <w:rsid w:val="007D1DEC"/>
    <w:rsid w:val="007D73B5"/>
    <w:rsid w:val="007E51E7"/>
    <w:rsid w:val="007E7171"/>
    <w:rsid w:val="007E72CA"/>
    <w:rsid w:val="007E73EA"/>
    <w:rsid w:val="007F6258"/>
    <w:rsid w:val="00801CDD"/>
    <w:rsid w:val="0081355C"/>
    <w:rsid w:val="008243A7"/>
    <w:rsid w:val="008330CE"/>
    <w:rsid w:val="00837C2D"/>
    <w:rsid w:val="0085778C"/>
    <w:rsid w:val="00863A34"/>
    <w:rsid w:val="008679DF"/>
    <w:rsid w:val="00870076"/>
    <w:rsid w:val="00874D08"/>
    <w:rsid w:val="00885855"/>
    <w:rsid w:val="008A785F"/>
    <w:rsid w:val="008B2BE0"/>
    <w:rsid w:val="008B3C43"/>
    <w:rsid w:val="008B60A4"/>
    <w:rsid w:val="008C77E8"/>
    <w:rsid w:val="008D12DA"/>
    <w:rsid w:val="008D5983"/>
    <w:rsid w:val="008D6CD2"/>
    <w:rsid w:val="008E191B"/>
    <w:rsid w:val="008E26A9"/>
    <w:rsid w:val="008F15BB"/>
    <w:rsid w:val="008F3A1B"/>
    <w:rsid w:val="008F5DB9"/>
    <w:rsid w:val="00900E3B"/>
    <w:rsid w:val="009068B9"/>
    <w:rsid w:val="009143DF"/>
    <w:rsid w:val="00916860"/>
    <w:rsid w:val="00930C97"/>
    <w:rsid w:val="00932AD5"/>
    <w:rsid w:val="00940C0F"/>
    <w:rsid w:val="00950EB2"/>
    <w:rsid w:val="00961A09"/>
    <w:rsid w:val="00962F59"/>
    <w:rsid w:val="00964053"/>
    <w:rsid w:val="00971FF0"/>
    <w:rsid w:val="00976798"/>
    <w:rsid w:val="00986580"/>
    <w:rsid w:val="00991453"/>
    <w:rsid w:val="00993BFB"/>
    <w:rsid w:val="00996B1F"/>
    <w:rsid w:val="00997D33"/>
    <w:rsid w:val="009A4820"/>
    <w:rsid w:val="009B6764"/>
    <w:rsid w:val="009C3A18"/>
    <w:rsid w:val="009C567F"/>
    <w:rsid w:val="009E573F"/>
    <w:rsid w:val="009F0E9A"/>
    <w:rsid w:val="009F28F2"/>
    <w:rsid w:val="009F3A9C"/>
    <w:rsid w:val="00A071CE"/>
    <w:rsid w:val="00A078E1"/>
    <w:rsid w:val="00A14E38"/>
    <w:rsid w:val="00A16A54"/>
    <w:rsid w:val="00A21B11"/>
    <w:rsid w:val="00A27F16"/>
    <w:rsid w:val="00A3122C"/>
    <w:rsid w:val="00A3475C"/>
    <w:rsid w:val="00A40DCC"/>
    <w:rsid w:val="00A41D9F"/>
    <w:rsid w:val="00A46905"/>
    <w:rsid w:val="00A47BD4"/>
    <w:rsid w:val="00A52C8B"/>
    <w:rsid w:val="00A603A9"/>
    <w:rsid w:val="00A638A9"/>
    <w:rsid w:val="00A75D71"/>
    <w:rsid w:val="00A776D8"/>
    <w:rsid w:val="00A77AD5"/>
    <w:rsid w:val="00A84694"/>
    <w:rsid w:val="00AA21F1"/>
    <w:rsid w:val="00AA652B"/>
    <w:rsid w:val="00AB18D9"/>
    <w:rsid w:val="00AC2D78"/>
    <w:rsid w:val="00AC7EC8"/>
    <w:rsid w:val="00AD094B"/>
    <w:rsid w:val="00B04614"/>
    <w:rsid w:val="00B07E85"/>
    <w:rsid w:val="00B10E65"/>
    <w:rsid w:val="00B11746"/>
    <w:rsid w:val="00B129D5"/>
    <w:rsid w:val="00B218C5"/>
    <w:rsid w:val="00B25D2F"/>
    <w:rsid w:val="00B3121A"/>
    <w:rsid w:val="00B31A94"/>
    <w:rsid w:val="00B33BF3"/>
    <w:rsid w:val="00B3456F"/>
    <w:rsid w:val="00B47A4E"/>
    <w:rsid w:val="00B5006D"/>
    <w:rsid w:val="00B5667E"/>
    <w:rsid w:val="00B56722"/>
    <w:rsid w:val="00B57F3C"/>
    <w:rsid w:val="00B6040C"/>
    <w:rsid w:val="00B660F5"/>
    <w:rsid w:val="00B73618"/>
    <w:rsid w:val="00B834EF"/>
    <w:rsid w:val="00B87339"/>
    <w:rsid w:val="00B91596"/>
    <w:rsid w:val="00B952E0"/>
    <w:rsid w:val="00B95CAF"/>
    <w:rsid w:val="00B9726A"/>
    <w:rsid w:val="00BA1102"/>
    <w:rsid w:val="00BB1581"/>
    <w:rsid w:val="00BB6E8E"/>
    <w:rsid w:val="00BC2FFF"/>
    <w:rsid w:val="00BC3915"/>
    <w:rsid w:val="00BE3457"/>
    <w:rsid w:val="00BF0077"/>
    <w:rsid w:val="00BF03E4"/>
    <w:rsid w:val="00BF41EF"/>
    <w:rsid w:val="00BF594B"/>
    <w:rsid w:val="00C118B8"/>
    <w:rsid w:val="00C12FCD"/>
    <w:rsid w:val="00C21451"/>
    <w:rsid w:val="00C25F77"/>
    <w:rsid w:val="00C2696F"/>
    <w:rsid w:val="00C27537"/>
    <w:rsid w:val="00C34709"/>
    <w:rsid w:val="00C52E28"/>
    <w:rsid w:val="00C57732"/>
    <w:rsid w:val="00C60CD5"/>
    <w:rsid w:val="00C61044"/>
    <w:rsid w:val="00C647D7"/>
    <w:rsid w:val="00C6790A"/>
    <w:rsid w:val="00C70135"/>
    <w:rsid w:val="00C8263C"/>
    <w:rsid w:val="00C83891"/>
    <w:rsid w:val="00C85756"/>
    <w:rsid w:val="00C873E1"/>
    <w:rsid w:val="00C901A8"/>
    <w:rsid w:val="00C90EFD"/>
    <w:rsid w:val="00C936B2"/>
    <w:rsid w:val="00C97669"/>
    <w:rsid w:val="00CA031F"/>
    <w:rsid w:val="00CB1765"/>
    <w:rsid w:val="00CB466B"/>
    <w:rsid w:val="00CC0D33"/>
    <w:rsid w:val="00CC10D1"/>
    <w:rsid w:val="00CC278B"/>
    <w:rsid w:val="00CC4AAC"/>
    <w:rsid w:val="00CC7192"/>
    <w:rsid w:val="00CE1E61"/>
    <w:rsid w:val="00CF1E30"/>
    <w:rsid w:val="00CF7057"/>
    <w:rsid w:val="00D06B2D"/>
    <w:rsid w:val="00D110C4"/>
    <w:rsid w:val="00D16FFE"/>
    <w:rsid w:val="00D21A12"/>
    <w:rsid w:val="00D330BD"/>
    <w:rsid w:val="00D34701"/>
    <w:rsid w:val="00D34B12"/>
    <w:rsid w:val="00D35EBF"/>
    <w:rsid w:val="00D4783B"/>
    <w:rsid w:val="00D504A8"/>
    <w:rsid w:val="00D53AC6"/>
    <w:rsid w:val="00D70E87"/>
    <w:rsid w:val="00D876D0"/>
    <w:rsid w:val="00D939FA"/>
    <w:rsid w:val="00D96F37"/>
    <w:rsid w:val="00DA136B"/>
    <w:rsid w:val="00DB00AE"/>
    <w:rsid w:val="00DB1AC6"/>
    <w:rsid w:val="00DB28EF"/>
    <w:rsid w:val="00DC37C8"/>
    <w:rsid w:val="00DC5689"/>
    <w:rsid w:val="00DC755D"/>
    <w:rsid w:val="00DD1500"/>
    <w:rsid w:val="00DE5717"/>
    <w:rsid w:val="00DE5DD0"/>
    <w:rsid w:val="00DF1960"/>
    <w:rsid w:val="00DF1CD1"/>
    <w:rsid w:val="00DF57A4"/>
    <w:rsid w:val="00E00CB0"/>
    <w:rsid w:val="00E013C0"/>
    <w:rsid w:val="00E15F57"/>
    <w:rsid w:val="00E23BAD"/>
    <w:rsid w:val="00E3027E"/>
    <w:rsid w:val="00E80D6C"/>
    <w:rsid w:val="00E9253B"/>
    <w:rsid w:val="00EA005C"/>
    <w:rsid w:val="00EA0A02"/>
    <w:rsid w:val="00EA79A5"/>
    <w:rsid w:val="00EA7DE4"/>
    <w:rsid w:val="00EC7E69"/>
    <w:rsid w:val="00ED35A6"/>
    <w:rsid w:val="00ED6D23"/>
    <w:rsid w:val="00EE0AC6"/>
    <w:rsid w:val="00EE10AE"/>
    <w:rsid w:val="00EE2249"/>
    <w:rsid w:val="00EE38AA"/>
    <w:rsid w:val="00EE4B71"/>
    <w:rsid w:val="00EE78CB"/>
    <w:rsid w:val="00EE7C5D"/>
    <w:rsid w:val="00EF1801"/>
    <w:rsid w:val="00EF577B"/>
    <w:rsid w:val="00F07895"/>
    <w:rsid w:val="00F07E8B"/>
    <w:rsid w:val="00F23B56"/>
    <w:rsid w:val="00F27932"/>
    <w:rsid w:val="00F31C3E"/>
    <w:rsid w:val="00F33203"/>
    <w:rsid w:val="00F3359B"/>
    <w:rsid w:val="00F415B1"/>
    <w:rsid w:val="00F51FB1"/>
    <w:rsid w:val="00F54DD7"/>
    <w:rsid w:val="00F60782"/>
    <w:rsid w:val="00F6082D"/>
    <w:rsid w:val="00F67963"/>
    <w:rsid w:val="00F71EE4"/>
    <w:rsid w:val="00F75148"/>
    <w:rsid w:val="00F757E6"/>
    <w:rsid w:val="00F863D9"/>
    <w:rsid w:val="00F933B5"/>
    <w:rsid w:val="00F957D6"/>
    <w:rsid w:val="00FA2C08"/>
    <w:rsid w:val="00FA329C"/>
    <w:rsid w:val="00FA401D"/>
    <w:rsid w:val="00FA77E7"/>
    <w:rsid w:val="00FB6538"/>
    <w:rsid w:val="00FB7FA6"/>
    <w:rsid w:val="00FC0C1E"/>
    <w:rsid w:val="00FE241C"/>
    <w:rsid w:val="00FE7263"/>
    <w:rsid w:val="00FF10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46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w:basedOn w:val="a"/>
    <w:rsid w:val="00A40DCC"/>
    <w:pPr>
      <w:widowControl/>
      <w:spacing w:after="160" w:line="240" w:lineRule="exact"/>
    </w:pPr>
    <w:rPr>
      <w:rFonts w:ascii="Verdana" w:hAnsi="Verdana"/>
      <w:kern w:val="0"/>
      <w:sz w:val="20"/>
      <w:szCs w:val="20"/>
      <w:lang w:eastAsia="en-US"/>
    </w:rPr>
  </w:style>
  <w:style w:type="table" w:styleId="a4">
    <w:name w:val="Table Grid"/>
    <w:basedOn w:val="a1"/>
    <w:rsid w:val="00A40DC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rsid w:val="002B4C52"/>
    <w:pPr>
      <w:tabs>
        <w:tab w:val="center" w:pos="4153"/>
        <w:tab w:val="right" w:pos="8306"/>
      </w:tabs>
      <w:snapToGrid w:val="0"/>
    </w:pPr>
    <w:rPr>
      <w:sz w:val="20"/>
      <w:szCs w:val="20"/>
    </w:rPr>
  </w:style>
  <w:style w:type="character" w:styleId="a6">
    <w:name w:val="page number"/>
    <w:basedOn w:val="a0"/>
    <w:rsid w:val="002B4C52"/>
  </w:style>
  <w:style w:type="paragraph" w:styleId="2">
    <w:name w:val="Body Text Indent 2"/>
    <w:basedOn w:val="a"/>
    <w:rsid w:val="0005156C"/>
    <w:pPr>
      <w:spacing w:line="500" w:lineRule="exact"/>
      <w:ind w:leftChars="650" w:left="1560"/>
    </w:pPr>
    <w:rPr>
      <w:rFonts w:eastAsia="標楷體"/>
      <w:sz w:val="28"/>
    </w:rPr>
  </w:style>
  <w:style w:type="paragraph" w:customStyle="1" w:styleId="a7">
    <w:name w:val="行文機關"/>
    <w:basedOn w:val="a"/>
    <w:rsid w:val="00B9726A"/>
    <w:pPr>
      <w:snapToGrid w:val="0"/>
    </w:pPr>
    <w:rPr>
      <w:rFonts w:eastAsia="標楷體"/>
      <w:sz w:val="32"/>
      <w:szCs w:val="20"/>
    </w:rPr>
  </w:style>
  <w:style w:type="paragraph" w:styleId="a8">
    <w:name w:val="header"/>
    <w:basedOn w:val="a"/>
    <w:rsid w:val="0011364C"/>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雲林縣政府</dc:title>
  <dc:subject/>
  <dc:creator>24117</dc:creator>
  <cp:keywords/>
  <cp:lastModifiedBy>劉造峯</cp:lastModifiedBy>
  <cp:revision>5</cp:revision>
  <cp:lastPrinted>2015-09-02T02:53:00Z</cp:lastPrinted>
  <dcterms:created xsi:type="dcterms:W3CDTF">2015-10-05T06:31:00Z</dcterms:created>
  <dcterms:modified xsi:type="dcterms:W3CDTF">2015-10-06T01:43:00Z</dcterms:modified>
</cp:coreProperties>
</file>